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4A" w:rsidRDefault="00BD654A" w:rsidP="00BD654A">
      <w:pPr>
        <w:shd w:val="clear" w:color="auto" w:fill="FFFFFF"/>
        <w:spacing w:after="285" w:line="536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23122F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Приказ МЧС России от 6 июля 2020 г. № 487 “Об утверждении Правил пользования маломерными судами на водных объектах Российской Федерации”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.</w:t>
      </w:r>
    </w:p>
    <w:p w:rsidR="00BD654A" w:rsidRDefault="00BD654A" w:rsidP="00BD654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 октября 2020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bookmarkStart w:id="0" w:name="0"/>
      <w:bookmarkEnd w:id="0"/>
      <w:r w:rsidRPr="0023122F">
        <w:rPr>
          <w:color w:val="333333"/>
        </w:rPr>
        <w:t>В соответствии с пунктом 7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 г. N 835</w:t>
      </w:r>
      <w:hyperlink r:id="rId4" w:anchor="111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1</w:t>
        </w:r>
      </w:hyperlink>
      <w:r w:rsidRPr="0023122F">
        <w:rPr>
          <w:color w:val="333333"/>
        </w:rPr>
        <w:t>, приказываю: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1. Утвердить прилагаемые </w:t>
      </w:r>
      <w:hyperlink r:id="rId5" w:anchor="1000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</w:rPr>
          <w:t>Правила</w:t>
        </w:r>
      </w:hyperlink>
      <w:r w:rsidRPr="0023122F">
        <w:rPr>
          <w:color w:val="333333"/>
        </w:rPr>
        <w:t> пользования маломерными судами на водных объектах Российской Федерации.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2. Настоящий приказ вступает в силу с 1 января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1377"/>
      </w:tblGrid>
      <w:tr w:rsidR="00BD654A" w:rsidRPr="0023122F" w:rsidTr="00A748EF">
        <w:tc>
          <w:tcPr>
            <w:tcW w:w="2500" w:type="pct"/>
            <w:hideMark/>
          </w:tcPr>
          <w:p w:rsidR="00BD654A" w:rsidRPr="0023122F" w:rsidRDefault="00BD654A" w:rsidP="00A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2F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BD654A" w:rsidRPr="0023122F" w:rsidRDefault="00BD654A" w:rsidP="00A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2F">
              <w:rPr>
                <w:rFonts w:ascii="Times New Roman" w:hAnsi="Times New Roman" w:cs="Times New Roman"/>
                <w:sz w:val="24"/>
                <w:szCs w:val="24"/>
              </w:rPr>
              <w:t>Е.Н. Зиничев</w:t>
            </w:r>
          </w:p>
        </w:tc>
      </w:tr>
    </w:tbl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------------------------------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1</w:t>
      </w:r>
      <w:r w:rsidRPr="0023122F">
        <w:rPr>
          <w:color w:val="333333"/>
        </w:rPr>
        <w:t> Собрание законодательства Российской Федерации, 2004, N 52, ст. 5499; 2013, N 46, ст. 5949.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------------------------------</w:t>
      </w:r>
    </w:p>
    <w:p w:rsidR="00BD654A" w:rsidRPr="0023122F" w:rsidRDefault="00BD654A" w:rsidP="00BD654A">
      <w:pPr>
        <w:pStyle w:val="toleft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Зарегистрировано в Минюсте РФ 22 октября 2020 г.</w:t>
      </w:r>
    </w:p>
    <w:p w:rsidR="00BD654A" w:rsidRPr="0023122F" w:rsidRDefault="00BD654A" w:rsidP="00BD654A">
      <w:pPr>
        <w:pStyle w:val="toleft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Регистрационный № 60524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УТВЕРЖДЕНЫ</w:t>
      </w:r>
      <w:r w:rsidRPr="0023122F">
        <w:rPr>
          <w:color w:val="333333"/>
        </w:rPr>
        <w:br/>
      </w:r>
      <w:hyperlink r:id="rId6" w:anchor="0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</w:rPr>
          <w:t>приказом</w:t>
        </w:r>
      </w:hyperlink>
      <w:r w:rsidRPr="0023122F">
        <w:rPr>
          <w:color w:val="333333"/>
        </w:rPr>
        <w:t> МЧС России</w:t>
      </w:r>
      <w:r w:rsidRPr="0023122F">
        <w:rPr>
          <w:color w:val="333333"/>
        </w:rPr>
        <w:br/>
        <w:t>от 06.07.2020 № 487</w:t>
      </w:r>
    </w:p>
    <w:p w:rsidR="00BD654A" w:rsidRPr="0023122F" w:rsidRDefault="00BD654A" w:rsidP="00BD654A">
      <w:pPr>
        <w:pStyle w:val="3"/>
        <w:shd w:val="clear" w:color="auto" w:fill="FFFFFF"/>
        <w:spacing w:before="0" w:after="285" w:line="30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3122F">
        <w:rPr>
          <w:rFonts w:ascii="Times New Roman" w:hAnsi="Times New Roman" w:cs="Times New Roman"/>
          <w:color w:val="333333"/>
          <w:sz w:val="24"/>
          <w:szCs w:val="24"/>
        </w:rPr>
        <w:t>Правила</w:t>
      </w:r>
      <w:r w:rsidRPr="0023122F">
        <w:rPr>
          <w:rFonts w:ascii="Times New Roman" w:hAnsi="Times New Roman" w:cs="Times New Roman"/>
          <w:color w:val="333333"/>
          <w:sz w:val="24"/>
          <w:szCs w:val="24"/>
        </w:rPr>
        <w:br/>
        <w:t>пользования маломерными судами на водных объектах Российской Федерации</w:t>
      </w:r>
    </w:p>
    <w:p w:rsidR="00BD654A" w:rsidRPr="0023122F" w:rsidRDefault="00BD654A" w:rsidP="00BD654A">
      <w:pPr>
        <w:pStyle w:val="3"/>
        <w:shd w:val="clear" w:color="auto" w:fill="FFFFFF"/>
        <w:spacing w:before="0" w:after="285" w:line="30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3122F">
        <w:rPr>
          <w:rFonts w:ascii="Times New Roman" w:hAnsi="Times New Roman" w:cs="Times New Roman"/>
          <w:color w:val="333333"/>
          <w:sz w:val="24"/>
          <w:szCs w:val="24"/>
        </w:rPr>
        <w:t>I. Общие положения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1. Настоящие Правила устанавливают порядок пользования маломерными судами, используемыми в некоммерческих целях (далее - маломерные суда) на водных объектах Российской Федерации, включая вопросы их движения, стоянки, обеспечения безопасности людей при их использовании и распространяются на принадлежащие юридическим, физическим лицам и индивидуальным предпринимателям маломерные суда.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2. Государственную регистрацию, учет, классификацию и освидетельствование (осмотр) маломерных судов осуществляют территориальные подразделения Государственной инспекции по маломерным судам Министерства Российской Федерации по делам </w:t>
      </w:r>
      <w:r w:rsidRPr="0023122F">
        <w:rPr>
          <w:color w:val="333333"/>
        </w:rPr>
        <w:lastRenderedPageBreak/>
        <w:t>гражданской обороны, чрезвычайным ситуациям и ликвидации последствий стихийных бедствий по субъектам Российской Федерации (далее - Государственная инспекция по маломерным судам).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3. </w:t>
      </w:r>
      <w:proofErr w:type="gramStart"/>
      <w:r w:rsidRPr="0023122F">
        <w:rPr>
          <w:color w:val="333333"/>
        </w:rPr>
        <w:t>Контроль за</w:t>
      </w:r>
      <w:proofErr w:type="gramEnd"/>
      <w:r w:rsidRPr="0023122F">
        <w:rPr>
          <w:color w:val="333333"/>
        </w:rPr>
        <w:t xml:space="preserve"> выполнением требований настоящих Правил осуществляет Государственная инспекция по маломерным судам</w:t>
      </w:r>
      <w:hyperlink r:id="rId7" w:anchor="1111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1</w:t>
        </w:r>
      </w:hyperlink>
      <w:r w:rsidRPr="0023122F">
        <w:rPr>
          <w:color w:val="333333"/>
        </w:rPr>
        <w:t>.</w:t>
      </w:r>
    </w:p>
    <w:p w:rsidR="00BD654A" w:rsidRPr="0023122F" w:rsidRDefault="00BD654A" w:rsidP="00BD654A">
      <w:pPr>
        <w:pStyle w:val="3"/>
        <w:shd w:val="clear" w:color="auto" w:fill="FFFFFF"/>
        <w:spacing w:before="0" w:after="285" w:line="30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3122F">
        <w:rPr>
          <w:rFonts w:ascii="Times New Roman" w:hAnsi="Times New Roman" w:cs="Times New Roman"/>
          <w:color w:val="333333"/>
          <w:sz w:val="24"/>
          <w:szCs w:val="24"/>
        </w:rPr>
        <w:t>II. Требования к пользованию маломерными судами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4. Пользование маломерными судами разрешается: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а) 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при соблюдении установленных производителем судна или указанных в судовом билете условий, норм и технических требований по пассажировместимости, грузоподъемности, предельной мощности и количеству двигателей, допустимой площади парусов, району плавания, 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5. К управлению маломерными судами, подлежащими государственной регистрации в реестре маломерных судов, допускаются лица, имеющие удостоверение на право управления маломерными судами (далее - судоводители).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6. 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7. </w:t>
      </w:r>
      <w:proofErr w:type="gramStart"/>
      <w:r w:rsidRPr="0023122F">
        <w:rPr>
          <w:color w:val="333333"/>
        </w:rPr>
        <w:t>На водных объектах Российской Федерации, или их участках, на которые не распространяется действие Конвенции о Международных правилах предупреждения столкновений судов в море от 20 октября 1972 г.</w:t>
      </w:r>
      <w:hyperlink r:id="rId8" w:anchor="1113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3</w:t>
        </w:r>
      </w:hyperlink>
      <w:r w:rsidRPr="0023122F">
        <w:rPr>
          <w:color w:val="333333"/>
          <w:vertAlign w:val="superscript"/>
        </w:rPr>
        <w:t> </w:t>
      </w:r>
      <w:r w:rsidRPr="0023122F">
        <w:rPr>
          <w:color w:val="333333"/>
        </w:rPr>
        <w:t>(далее - МППСС-72) или Правил плавания судов по внутренним водным путям, утвержденных приказом Министерства транспорта Российской Федерации от 19.01.2018 N 19 (зарегистрирован Министерством юстиции Российской Федерации 07.03.2018, регистрационный N 50283), с изменениями, внесенными</w:t>
      </w:r>
      <w:proofErr w:type="gramEnd"/>
      <w:r w:rsidRPr="0023122F">
        <w:rPr>
          <w:color w:val="333333"/>
        </w:rPr>
        <w:t xml:space="preserve"> приказом Министерства транспорта Российской Федерации от 11.02.2019 N 50 (</w:t>
      </w:r>
      <w:proofErr w:type="gramStart"/>
      <w:r w:rsidRPr="0023122F">
        <w:rPr>
          <w:color w:val="333333"/>
        </w:rPr>
        <w:t>зарегистрирован</w:t>
      </w:r>
      <w:proofErr w:type="gramEnd"/>
      <w:r w:rsidRPr="0023122F">
        <w:rPr>
          <w:color w:val="333333"/>
        </w:rPr>
        <w:t xml:space="preserve"> Министерством юстиции Российской Федерации 28.05.2019, регистрационный N 54757) (далее - ППВВП), маневрирование маломерных судов должно осуществляться в следующем порядке: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а) в случае, если два судна с механическими двигателями сближаются на противоположных курсах так, что может возникнуть опасность столкновения, каждое из них должно изменить свой ку</w:t>
      </w:r>
      <w:proofErr w:type="gramStart"/>
      <w:r w:rsidRPr="0023122F">
        <w:rPr>
          <w:color w:val="333333"/>
        </w:rPr>
        <w:t>рс впр</w:t>
      </w:r>
      <w:proofErr w:type="gramEnd"/>
      <w:r w:rsidRPr="0023122F">
        <w:rPr>
          <w:color w:val="333333"/>
        </w:rPr>
        <w:t>аво;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в случае если суда следуют курсами, пересекающимися таким образом, что может возникнуть опасность столкновения, то: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lastRenderedPageBreak/>
        <w:t>маломерное судно с механическим двигателем, у которого другое судно с механическим двигателем движется с правой стороны, должно обеспечить ему возможность прохода;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маломерное судно с механическим двигателем должно обеспечить возможность прохода судну, не использующему механический двигатель, или судну, не являющемуся маломерным;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маломерное судно, не идущее под парусом, должно обеспечить возможность прохода судну, идущему под парусом;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в) в случае если два парусных судна следуют курсами, пересекающимися таким образом, что может возникнуть опасность столкновения, то: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если суда идут разными галсами, судно, идущее левым галсом, должно уступить дорогу другому судну. </w:t>
      </w:r>
      <w:proofErr w:type="gramStart"/>
      <w:r w:rsidRPr="0023122F">
        <w:rPr>
          <w:color w:val="333333"/>
        </w:rPr>
        <w:t>В случае если лицо, осуществляющее управление маломерным судном, идущим левым галсом, не может определить, левым или правым галсом идет судно с наветренной стороны, он должен обеспечить возможность прохода данному судну;</w:t>
      </w:r>
      <w:proofErr w:type="gramEnd"/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если оба судна идут одним и тем же галсом, то судно, находящееся на ветре, должно уступить дорогу судну, находящемуся под ветром;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г) в случае если настоящими Правилами не предусмотрено иное, при встречном расхождении в узкостях судно, идущее вниз (от истока к устью реки), имеет преимущество по отношению к судну, идущему вверх (от устья к истоку реки.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8. Каждое маломерное судно должно всегда следовать с безопасной скоростью с тем, чтобы оно могло предпринять действия для предупреждения столкновения и могло быть остановлено в пределах расстояния, требуемого при существующих обстоятельствах и условиях</w:t>
      </w:r>
      <w:hyperlink r:id="rId9" w:anchor="1114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4</w:t>
        </w:r>
      </w:hyperlink>
      <w:r w:rsidRPr="0023122F">
        <w:rPr>
          <w:color w:val="333333"/>
        </w:rPr>
        <w:t>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9. При движении в границах портов, пристаней, баз (сооружений) для стоянок маломерных судов, пляжей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10. Применяемые на маломерном судне индивидуальные спасательные средства должны соответствовать размеру и массе лиц, их использующих, и при применении должны быть застегнуты и обеспечивать закрепление на теле пользователя, исключающее самопроизвольное снятие при падении в воду.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11. При плавании должны быть одеты в индивидуальные спасательные средства: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а) лица, находящиеся на водных мотоциклах (гидроциклах) либо на буксируемых маломерными судами устройствах (водных лыжах, вейкбордах, подъемно-буксировочных системах, а также надувных буксируемых и иных устройствах);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лица, находящиеся во время движения на беспалубных маломерных судах длиной до 4 метров включительно;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lastRenderedPageBreak/>
        <w:t>в) лица, находящиеся на открытой палубе маломерного судна либо на беспалубных маломерных судах во время шлюзования или прохождения акватории порта;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г) дети до 12-летнего возраста, находящиеся вне судовых помещений.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12. При осуществлении буксировки маломерным судном буксируемых устройств (водных лыж, вейкбордов, подъемно-буксировочных систем, а также надувных буксируемых и иных устройств), кроме судоводителя на судне должно быть лицо, осуществляющее наблюдение за буксируемым устройством и находящимися на нем людьми.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proofErr w:type="gramStart"/>
      <w:r w:rsidRPr="0023122F">
        <w:rPr>
          <w:color w:val="333333"/>
        </w:rPr>
        <w:t>Лицо, осуществляющее наблюдение за буксируемым устройством и находящимися на нем людьми, должно информировать судоводителя либо лицо, управляющее маломерным судном, о возникновении опасного сближения, которое может привести к столкновению буксируемого устройства с берегом, гидротехническими сооружениями, другими судами и плавучими объектами, либо о падении людей с буксируемого устройства, запутывании или обрыве буксирного троса (линя) в целях принятия судоводителем либо лицом, управляющего маломерным</w:t>
      </w:r>
      <w:proofErr w:type="gramEnd"/>
      <w:r w:rsidRPr="0023122F">
        <w:rPr>
          <w:color w:val="333333"/>
        </w:rPr>
        <w:t xml:space="preserve"> судном, соответствующих решений.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13. При плавании на маломерных судах запрещается: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а) управлять при наличии одного из следующих условий маломерным судном, подлежащим государственной регистрации: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не </w:t>
      </w:r>
      <w:proofErr w:type="gramStart"/>
      <w:r w:rsidRPr="0023122F">
        <w:rPr>
          <w:color w:val="333333"/>
        </w:rPr>
        <w:t>зарегистрированным</w:t>
      </w:r>
      <w:proofErr w:type="gramEnd"/>
      <w:r w:rsidRPr="0023122F">
        <w:rPr>
          <w:color w:val="333333"/>
        </w:rPr>
        <w:t xml:space="preserve"> в реестре маломерных судов;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не прошедшим освидетельствования;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не </w:t>
      </w:r>
      <w:proofErr w:type="gramStart"/>
      <w:r w:rsidRPr="0023122F">
        <w:rPr>
          <w:color w:val="333333"/>
        </w:rPr>
        <w:t>несущим</w:t>
      </w:r>
      <w:proofErr w:type="gramEnd"/>
      <w:r w:rsidRPr="0023122F">
        <w:rPr>
          <w:color w:val="333333"/>
        </w:rPr>
        <w:t xml:space="preserve"> идентификационных номеров либо с нарушениями правил их нанесения;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proofErr w:type="gramStart"/>
      <w:r w:rsidRPr="0023122F">
        <w:rPr>
          <w:color w:val="333333"/>
        </w:rPr>
        <w:t>переоборудованным</w:t>
      </w:r>
      <w:proofErr w:type="gramEnd"/>
      <w:r w:rsidRPr="0023122F">
        <w:rPr>
          <w:color w:val="333333"/>
        </w:rPr>
        <w:t xml:space="preserve"> без соответствующего освидетельствования;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лицом, не имеющим права управления соответствующим типом маломерного судна, в соответствующем районе плавания либо без удостоверения на право управления маломерным судном;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без судового билета или его заверенной копии, или документов, подтверждающих право владения, пользования или распоряжения управляемым им судном в отсутствие владельца;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в) эксплуатировать судно с нарушением норм загрузки, пассажировместимости, ограничений по району и условиям плавания;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г) превышать скорость движения, установленную правилами пользования водными объектами для плавания на маломерных судах, утверждаемыми в соответствии с пунктом 7 статьи 25 Водного кодекса Российской Федерации</w:t>
      </w:r>
      <w:hyperlink r:id="rId10" w:anchor="1115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5</w:t>
        </w:r>
      </w:hyperlink>
      <w:r w:rsidRPr="0023122F">
        <w:rPr>
          <w:color w:val="333333"/>
        </w:rPr>
        <w:t>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lastRenderedPageBreak/>
        <w:t>д) нарушать правила маневрирования, подачи звуковых сигналов, несения огней или знаков, установленные требованиями МППСС-72, ППВВП и настоящими Правилами;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е) 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ж) заходить в запретные для плавания и временно опасные для плавания районы</w:t>
      </w:r>
      <w:hyperlink r:id="rId11" w:anchor="1116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6</w:t>
        </w:r>
      </w:hyperlink>
      <w:r w:rsidRPr="0023122F">
        <w:rPr>
          <w:color w:val="333333"/>
        </w:rPr>
        <w:t> или преднамеренно останавливаться в запрещенных местах;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з) заходить под мотором или парусом и маневрировать на акваториях пляжей и других мест массового отдыха населения на водных объектах;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и) осуществлять буксировку буксируемых устройств или приближаться на водных мотоциклах (гидроциклах) ближе 50 метров к ограждению границ заплыва на пляжах и других мест купания;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к) перевозить на судне детей до 7-летнего возраста без сопровождения совершеннолетнего;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л) швартоваться, останавливаться или становиться на якорь в пределах судового хода, у плавучих навигационных знаков, грузовых и пассажирских причалов, под мостами;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м) маневрировать на судовом ходу (фарватере) либо в акватории порта создавая своими действиями помехи транспортным и техническим судам морского и речного флота;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н) устанавливать моторы (подвесные двигатели) на лодки с превышением допустимой мощности, установленной производителем судна;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о) использовать суда в целях браконьерства и других противоправных действий;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п) осуществлять пересадку людей с одного судна на другое во время движения;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р) осуществлять заправку топливом без соблюдения мер пожарной безопасности;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с) выходить на судовой ход при видимости, составляющей менее 1 километра;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т) 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у) 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ф) создавать угрозу безопасности пассажиров при посадке на суда, в пути следования и при высадке их с судов;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х) эксплуатировать судно в темное время суток при отсутствии, неисправности или несоответствии огней требованиям, установленным МППСС-72 и ГШВВП;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lastRenderedPageBreak/>
        <w:t>ц) выбрасывать за борт мусор, допускать загрязнение водных объектов нефтепродуктами.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14. Запрещается эксплуатация маломерных судов при наличии одной из следующих неисправностей: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а) наличие, независимо от местонахождения, свищей и пробоин обшивки корпуса, повреждений набора корпуса или отсутствие его элементов, предусмотренных конструкцией;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отсутствие или разгерметизация предусмотренных конструкцией маломерного судна герметичных отсеков, воздушных ящиков или блоков плавучести;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в) не обеспечен полный угол перекладки руля (35 градусов на каждый борт), затруднено вращение рулевого штурвала в соответствии с требованиями подпункта "в" пункта 45 технического регламента Таможенного союза "О безопасности маломерных судов"</w:t>
      </w:r>
      <w:hyperlink r:id="rId12" w:anchor="1117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7</w:t>
        </w:r>
      </w:hyperlink>
      <w:r w:rsidRPr="0023122F">
        <w:rPr>
          <w:color w:val="333333"/>
        </w:rPr>
        <w:t>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г) повреждение пера руля или деталей рулевого привода (направляющие блоки, опорные подшипники, натяжные талрепы, штуртросовая передача), наличие разрывов каболок штуртроса;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д) отсутствие предусмотренных конструкцией деталей крепления рулевого привода (гайки, шплинты, контргайки);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е) утечка топлива из баков, шлангов системы питания;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ж) наличие вибрации или уровня шума двигателя (подвесного мотора) </w:t>
      </w:r>
      <w:proofErr w:type="gramStart"/>
      <w:r w:rsidRPr="0023122F">
        <w:rPr>
          <w:color w:val="333333"/>
        </w:rPr>
        <w:t>превышающих</w:t>
      </w:r>
      <w:proofErr w:type="gramEnd"/>
      <w:r w:rsidRPr="0023122F">
        <w:rPr>
          <w:color w:val="333333"/>
        </w:rPr>
        <w:t xml:space="preserve"> допустимые эксплуатационной документацией значения;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з) повреждение системы дистанционного управления двигателем, </w:t>
      </w:r>
      <w:proofErr w:type="gramStart"/>
      <w:r w:rsidRPr="0023122F">
        <w:rPr>
          <w:color w:val="333333"/>
        </w:rPr>
        <w:t>реверс-редуктором</w:t>
      </w:r>
      <w:proofErr w:type="gramEnd"/>
      <w:r w:rsidRPr="0023122F">
        <w:rPr>
          <w:color w:val="333333"/>
        </w:rPr>
        <w:t>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и) несоответствие нормам комплектации и оборудования судна, установленным техническим регламентом Таможенного союза "О безопасности маломерных судов";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к) отсутствие индивидуальных спасательных средств по количеству лиц, находящихся на борту, или их неисправность;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л) якорные устройства и швартовное оборудование (кнехты, утки, роульсы, клюзы, киповые планки) не обеспечивают удержание маломерного судна при его стоянке, причаливании и шлюзовании.</w:t>
      </w:r>
    </w:p>
    <w:p w:rsidR="00BD654A" w:rsidRPr="0023122F" w:rsidRDefault="00BD654A" w:rsidP="00BD654A">
      <w:pPr>
        <w:pStyle w:val="3"/>
        <w:shd w:val="clear" w:color="auto" w:fill="FFFFFF"/>
        <w:spacing w:before="0" w:after="285" w:line="30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3122F">
        <w:rPr>
          <w:rFonts w:ascii="Times New Roman" w:hAnsi="Times New Roman" w:cs="Times New Roman"/>
          <w:color w:val="333333"/>
          <w:sz w:val="24"/>
          <w:szCs w:val="24"/>
        </w:rPr>
        <w:t>III. Обязанности судоводителей и лиц, управляющих маломерными судами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15. Судоводители обязаны иметь при себе во время плавания следующие документы: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а) удостоверение на право управления маломерным судном;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судовой билет маломерного судна или его заверенную копию;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lastRenderedPageBreak/>
        <w:t>в) документы, подтверждающие право владения, пользования или распоряжения управляемым им судном в отсутствии владельца.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16. Судоводитель или лицо, управляющее маломерным судном, </w:t>
      </w:r>
      <w:proofErr w:type="gramStart"/>
      <w:r w:rsidRPr="0023122F">
        <w:rPr>
          <w:color w:val="333333"/>
        </w:rPr>
        <w:t>обязаны</w:t>
      </w:r>
      <w:proofErr w:type="gramEnd"/>
      <w:r w:rsidRPr="0023122F">
        <w:rPr>
          <w:color w:val="333333"/>
        </w:rPr>
        <w:t>: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proofErr w:type="gramStart"/>
      <w:r w:rsidRPr="0023122F">
        <w:rPr>
          <w:color w:val="333333"/>
        </w:rPr>
        <w:t>а) выполнять требования настоящих Правил, ППВВП, МППСС-72, обязательных постановлений в морском порту</w:t>
      </w:r>
      <w:hyperlink r:id="rId13" w:anchor="1118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8</w:t>
        </w:r>
      </w:hyperlink>
      <w:r w:rsidRPr="0023122F">
        <w:rPr>
          <w:color w:val="333333"/>
        </w:rPr>
        <w:t>, Правил пропуска судов через шлюзы внутренних водных путей, утвержденных приказом Министерства транспорта Российской Федерации от 03.03.2014 N 58 (зарегистрирован Министерством юстиции Российской Федерации 30.07.2014, регистрационный N 33349), с изменениями, внесенными приказом Министерства транспорта Российской Федерации от 16.06.2015 N 189 (зарегистрирован Министерством юстиции Российской Федерации 14.07.2015, регистрационный N</w:t>
      </w:r>
      <w:proofErr w:type="gramEnd"/>
      <w:r w:rsidRPr="0023122F">
        <w:rPr>
          <w:color w:val="333333"/>
        </w:rPr>
        <w:t> 38007), правил пользования водными объектами для плавания на маломерных судах, утверждаемых в соответствии с пунктом 7 статьи 25 Водного кодекса Российской Федерации, и иных правил, обеспечивающих безаварийное плавание судов, безопасность людей на воде и охрану окружающей природной среды;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нормами, установленными техническим регламентом Таможенного союза "О безопасности маломерных судов";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в) обеспечить безопасность пассажиров при посадке, высадке и на период пребывания на судне;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 xml:space="preserve">г) осуществлять плавание в бассейнах (районах), соответствующих категории сложности района плавания судна, знать условия плавания, </w:t>
      </w:r>
      <w:proofErr w:type="gramStart"/>
      <w:r w:rsidRPr="0023122F">
        <w:rPr>
          <w:color w:val="333333"/>
        </w:rPr>
        <w:t>навигационную</w:t>
      </w:r>
      <w:proofErr w:type="gramEnd"/>
      <w:r w:rsidRPr="0023122F">
        <w:rPr>
          <w:color w:val="333333"/>
        </w:rPr>
        <w:t xml:space="preserve"> и гидрометеообстановку в районе плавания;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д) прекращать движение судна по требованию государственного инспектора по маломерным судам;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е) выполнять требования должностных лиц Государственной инспекции по маломерным судам по вопросам, относящимся к безопасности плавания маломерных судов и охране жизни людей на водных объектах</w:t>
      </w:r>
      <w:hyperlink r:id="rId14" w:anchor="1119" w:history="1">
        <w:r w:rsidRPr="0023122F">
          <w:rPr>
            <w:rStyle w:val="a4"/>
            <w:rFonts w:eastAsiaTheme="majorEastAsia"/>
            <w:color w:val="808080"/>
            <w:bdr w:val="none" w:sz="0" w:space="0" w:color="auto" w:frame="1"/>
            <w:vertAlign w:val="superscript"/>
          </w:rPr>
          <w:t>9</w:t>
        </w:r>
      </w:hyperlink>
      <w:r w:rsidRPr="0023122F">
        <w:rPr>
          <w:color w:val="333333"/>
        </w:rPr>
        <w:t>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------------------------------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proofErr w:type="gramStart"/>
      <w:r w:rsidRPr="0023122F">
        <w:rPr>
          <w:color w:val="333333"/>
          <w:vertAlign w:val="superscript"/>
        </w:rPr>
        <w:t>1</w:t>
      </w:r>
      <w:r w:rsidRPr="0023122F">
        <w:rPr>
          <w:color w:val="333333"/>
        </w:rPr>
        <w:t> Подпункт 3 пункта 5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 г. N 835 (Собрание законодательства Российской Федерации, 2004, N 52, ст. 5499; 2013, № 30, ст. 4123).</w:t>
      </w:r>
      <w:proofErr w:type="gramEnd"/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3</w:t>
      </w:r>
      <w:r w:rsidRPr="0023122F">
        <w:rPr>
          <w:color w:val="333333"/>
        </w:rPr>
        <w:t xml:space="preserve"> Сборник действующих договоров, соглашений и конвенций, заключенных СССР с иностранными государствами, вып. XXXIII. - М., 1979, стр. 435 - 461, "Официальный интернет-портал правовой информации" (www.pravo.gov.ru, 24.11.2016) Конвенция </w:t>
      </w:r>
      <w:r w:rsidRPr="0023122F">
        <w:rPr>
          <w:color w:val="333333"/>
        </w:rPr>
        <w:lastRenderedPageBreak/>
        <w:t>вступила в силу для СССР 15.07.1977. Документ о присоединении СССР к Конвенции с оговорками сдан на хранение Генеральному секретарю Межправительственной морской консультативной организации 09.11.1973.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4</w:t>
      </w:r>
      <w:r w:rsidRPr="0023122F">
        <w:rPr>
          <w:color w:val="333333"/>
        </w:rPr>
        <w:t> Пункт 120 Правил плавания судов по внутренним водным путям, утвержденных приказом Министерства транспорта Российской Федерации от 19.01.2018 N 19 (зарегистрирован Министерством юстиции Российской Федерации 07.03.2018, регистрационный N 50283), с изменениями, внесенными приказом Министерства транспорта Российской Федерации от 11.02.2019 N 50 (зарегистрирован Министерством юстиции Российской Федерации 28.05.2019, регистрационный N 54757).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5</w:t>
      </w:r>
      <w:r w:rsidRPr="0023122F">
        <w:rPr>
          <w:color w:val="333333"/>
        </w:rPr>
        <w:t> Собрание законодательства Российской Федерации, 2006, N 23, ст. 2381; 2013, N 43, ст. 5452.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6</w:t>
      </w:r>
      <w:r w:rsidRPr="0023122F">
        <w:rPr>
          <w:color w:val="333333"/>
        </w:rPr>
        <w:t> Статья 15 Федерального закона от 31 июля 1998 г. N 155-ФЗ "О внутренних морских водах, территориальном море и прилежащей зоне Российской Федерации" (Собрание законодательства Российской Федерации, 1998, N 31, ст. 3833; 2019, N 51, ст. 7483).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7</w:t>
      </w:r>
      <w:r w:rsidRPr="0023122F">
        <w:rPr>
          <w:color w:val="333333"/>
        </w:rPr>
        <w:t> Принят решением Совета Евразийской экономической комиссии от 15 июня 2012 г. N 33 (Официальный сайт Комиссии Таможенного союза http://www.tsouz.ru/, 18.06.2012). Является обязательным для Российской Федерации в соответствии с Договором о Евразийской экономической комиссии от 18.11.2011, ратифицированным Федеральным законом от 01.12.2011 N 374-ФЗ "О ратификации Договора о Евразийской экономической комиссии" (Собрание законодательства Российской Федерации, 2011, N 49, ст. 7052); а также Договором о Евразийском экономическом союзе от 29.05.2014, ратифицированным Федеральным законом от 03.10.2014 N 279-ФЗ "О ратификации Договора о Евразийском экономическом союзе" (Собрание законодательства Российской Федерации, 2014, N 40, ст. 5310).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8</w:t>
      </w:r>
      <w:r w:rsidRPr="0023122F">
        <w:rPr>
          <w:color w:val="333333"/>
        </w:rPr>
        <w:t> Статья 14 Федерального закона от 8 ноября 2007 г. N 261-ФЗ "О морских портах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2007, N 46, ст. 5557; 2018, N 53, 8451).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  <w:vertAlign w:val="superscript"/>
        </w:rPr>
        <w:t>9</w:t>
      </w:r>
      <w:r w:rsidRPr="0023122F">
        <w:rPr>
          <w:color w:val="333333"/>
        </w:rPr>
        <w:t> Пункт 9 Правил государственного надзора за маломерными судами, используемыми в некоммерческих целях, утвержденных постановлением Правительства Российской Федерации от 18.09.2013 N 820 (Собрание законодательства Российской Федерации, 2013, N 39, ст. 4976).</w:t>
      </w:r>
    </w:p>
    <w:p w:rsidR="00BD654A" w:rsidRPr="0023122F" w:rsidRDefault="00BD654A" w:rsidP="00BD654A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color w:val="4D4D4D"/>
          <w:sz w:val="24"/>
          <w:szCs w:val="24"/>
        </w:rPr>
      </w:pPr>
      <w:bookmarkStart w:id="1" w:name="review"/>
      <w:bookmarkEnd w:id="1"/>
      <w:r w:rsidRPr="0023122F">
        <w:rPr>
          <w:rFonts w:ascii="Times New Roman" w:hAnsi="Times New Roman" w:cs="Times New Roman"/>
          <w:color w:val="4D4D4D"/>
          <w:sz w:val="24"/>
          <w:szCs w:val="24"/>
        </w:rPr>
        <w:t>Обзор документа</w:t>
      </w:r>
    </w:p>
    <w:p w:rsidR="00BD654A" w:rsidRPr="0023122F" w:rsidRDefault="00BD654A" w:rsidP="00BD654A">
      <w:pPr>
        <w:spacing w:before="285" w:after="285"/>
        <w:rPr>
          <w:rFonts w:ascii="Times New Roman" w:hAnsi="Times New Roman" w:cs="Times New Roman"/>
          <w:sz w:val="24"/>
          <w:szCs w:val="24"/>
        </w:rPr>
      </w:pPr>
      <w:r w:rsidRPr="0023122F">
        <w:rPr>
          <w:rFonts w:ascii="Times New Roman" w:hAnsi="Times New Roman" w:cs="Times New Roman"/>
          <w:sz w:val="24"/>
          <w:szCs w:val="24"/>
        </w:rPr>
        <w:pict>
          <v:rect id="_x0000_i1025" style="width:0;height:.85pt" o:hralign="center" o:hrstd="t" o:hrnoshade="t" o:hr="t" fillcolor="#333" stroked="f"/>
        </w:pic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МЧС установило новые правила пользования маломерными судами на водных объектах. Они, в числе прочего, содержат требования к маневрированию и буксировке, а также расширенный перечень неисправностей, при наличии которых запрещается эксплуатация судна.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lastRenderedPageBreak/>
        <w:t>Например, запрещена эксплуатация судна при отсутствии индивидуальных спасательных средств по количеству лиц, находящихся на борту, или их неисправности.</w:t>
      </w:r>
    </w:p>
    <w:p w:rsidR="00BD654A" w:rsidRPr="0023122F" w:rsidRDefault="00BD654A" w:rsidP="00BD654A">
      <w:pPr>
        <w:pStyle w:val="a3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3122F">
        <w:rPr>
          <w:color w:val="333333"/>
        </w:rPr>
        <w:t>Приказ вступает в силу с 1 января 2021 г.</w:t>
      </w:r>
    </w:p>
    <w:p w:rsidR="00BD654A" w:rsidRPr="0023122F" w:rsidRDefault="00BD654A" w:rsidP="00BD654A">
      <w:pPr>
        <w:shd w:val="clear" w:color="auto" w:fill="FFFFFF"/>
        <w:spacing w:after="285" w:line="536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</w:p>
    <w:p w:rsidR="00BD654A" w:rsidRPr="0023122F" w:rsidRDefault="00BD654A" w:rsidP="00BD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54A" w:rsidRPr="0023122F" w:rsidRDefault="00BD654A" w:rsidP="00BD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54A" w:rsidRPr="0023122F" w:rsidRDefault="00BD654A" w:rsidP="00BD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54A" w:rsidRPr="0023122F" w:rsidRDefault="00BD654A" w:rsidP="00BD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54A" w:rsidRPr="0023122F" w:rsidRDefault="00BD654A" w:rsidP="00BD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CF5" w:rsidRDefault="002E5CF5"/>
    <w:sectPr w:rsidR="002E5CF5" w:rsidSect="002E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D654A"/>
    <w:rsid w:val="002E5CF5"/>
    <w:rsid w:val="00BD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6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5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54A"/>
    <w:rPr>
      <w:color w:val="0000FF"/>
      <w:u w:val="single"/>
    </w:rPr>
  </w:style>
  <w:style w:type="paragraph" w:customStyle="1" w:styleId="toleft">
    <w:name w:val="toleft"/>
    <w:basedOn w:val="a"/>
    <w:rsid w:val="00B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97232/" TargetMode="External"/><Relationship Id="rId13" Type="http://schemas.openxmlformats.org/officeDocument/2006/relationships/hyperlink" Target="https://www.garant.ru/products/ipo/prime/doc/746972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697232/" TargetMode="External"/><Relationship Id="rId12" Type="http://schemas.openxmlformats.org/officeDocument/2006/relationships/hyperlink" Target="https://www.garant.ru/products/ipo/prime/doc/746972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97232/" TargetMode="External"/><Relationship Id="rId11" Type="http://schemas.openxmlformats.org/officeDocument/2006/relationships/hyperlink" Target="https://www.garant.ru/products/ipo/prime/doc/74697232/" TargetMode="External"/><Relationship Id="rId5" Type="http://schemas.openxmlformats.org/officeDocument/2006/relationships/hyperlink" Target="https://www.garant.ru/products/ipo/prime/doc/746972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697232/" TargetMode="External"/><Relationship Id="rId4" Type="http://schemas.openxmlformats.org/officeDocument/2006/relationships/hyperlink" Target="https://www.garant.ru/products/ipo/prime/doc/74697232/" TargetMode="External"/><Relationship Id="rId9" Type="http://schemas.openxmlformats.org/officeDocument/2006/relationships/hyperlink" Target="https://www.garant.ru/products/ipo/prime/doc/74697232/" TargetMode="External"/><Relationship Id="rId14" Type="http://schemas.openxmlformats.org/officeDocument/2006/relationships/hyperlink" Target="https://www.garant.ru/products/ipo/prime/doc/74697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2024-07-08T07:04:00Z</dcterms:created>
  <dcterms:modified xsi:type="dcterms:W3CDTF">2024-07-08T07:08:00Z</dcterms:modified>
</cp:coreProperties>
</file>